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A7342" w14:textId="77777777" w:rsidR="00A83EB9" w:rsidRPr="00A83EB9" w:rsidRDefault="00A83EB9" w:rsidP="00A83EB9">
      <w:pPr>
        <w:jc w:val="both"/>
        <w:rPr>
          <w:b/>
          <w:bCs/>
        </w:rPr>
      </w:pPr>
      <w:r w:rsidRPr="00A83EB9">
        <w:rPr>
          <w:b/>
          <w:bCs/>
        </w:rPr>
        <w:t>LEGGE 27 dicembre 2013, n. 147</w:t>
      </w:r>
    </w:p>
    <w:p w14:paraId="01544434" w14:textId="6D88B599" w:rsidR="00A83EB9" w:rsidRDefault="00A83EB9" w:rsidP="00A83EB9">
      <w:pPr>
        <w:jc w:val="both"/>
        <w:rPr>
          <w:b/>
          <w:bCs/>
        </w:rPr>
      </w:pPr>
      <w:r w:rsidRPr="00A83EB9">
        <w:rPr>
          <w:b/>
          <w:bCs/>
        </w:rPr>
        <w:t>Disposizioni per la formazione del bilancio annuale e pluriennale dello Stato (Legge di stabilità 2014). (13G00191)</w:t>
      </w:r>
    </w:p>
    <w:p w14:paraId="4C6EF7D5" w14:textId="0521EB80" w:rsidR="00A83EB9" w:rsidRPr="00A83EB9" w:rsidRDefault="00A83EB9" w:rsidP="00A83EB9">
      <w:pPr>
        <w:jc w:val="both"/>
      </w:pPr>
      <w:r w:rsidRPr="00A83EB9">
        <w:rPr>
          <w:b/>
          <w:bCs/>
        </w:rPr>
        <w:t>304. </w:t>
      </w:r>
      <w:r w:rsidRPr="00A83EB9">
        <w:t>Al fine di consentire, per gli impianti di cui alla lettera c) del presente comma, il più efficace utilizzo, in via non esclusiva, delle risorse del Fondo di cui al comma 303, come integrate dal medesimo comma, nonché di favorire comunque l'ammodernamento o la costruzione di impianti sportivi, con particolare riguardo alla sicurezza degli impianti e degli spettatori, attraverso la semplificazione delle procedure amministrative e la previsione di modalità innovative di finanziamento:</w:t>
      </w:r>
    </w:p>
    <w:p w14:paraId="58267D98" w14:textId="77777777" w:rsidR="00A83EB9" w:rsidRPr="00A83EB9" w:rsidRDefault="00A83EB9" w:rsidP="00A83EB9">
      <w:pPr>
        <w:jc w:val="both"/>
      </w:pPr>
      <w:r w:rsidRPr="00A83EB9">
        <w:t>a) il soggetto che intende realizzare l'intervento presenta al comune interessato uno studio di fattibilità, a valere quale progetto preliminare, redatto tenendo conto delle indicazioni di cui all'</w:t>
      </w:r>
      <w:hyperlink r:id="rId4" w:tgtFrame="_blank" w:history="1">
        <w:r w:rsidRPr="00A83EB9">
          <w:rPr>
            <w:rStyle w:val="Collegamentoipertestuale"/>
          </w:rPr>
          <w:t>articolo 14 del decreto del Presidente della Repubblica 5 ottobre 2010, n. 207</w:t>
        </w:r>
      </w:hyperlink>
      <w:r w:rsidRPr="00A83EB9">
        <w:t>, e corredato di un piano economico-finanziario e dell'accordo con una o più associazioni o società sportive utilizzatrici in via prevalente. Lo studio di fattibilità non può prevedere altri tipi di intervento, salvo quelli strettamente funzionali alla fruibilità dell'impianto e al raggiungimento del complessivo equilibrio economico-finanziario dell'iniziativa e concorrenti alla valorizzazione del territorio in termini sociali, occupazionali ed economici e comunque con esclusione della realizzazione di nuovi complessi di edilizia residenziale. Il comune, previa conferenza di servizi preliminare convocata su istanza dell'interessato in ordine allo studio di fattibilità, ove ne valuti positivamente la rispondenza, dichiara, entro il termine di novanta giorni dalla presentazione dello studio medesimo, il pubblico interesse della proposta, motivando l'eventuale mancato rispetto delle priorità di cui al comma 305 ed eventualmente indicando le condizioni necessarie per ottenere i successivi atti di assenso sul progetto;</w:t>
      </w:r>
    </w:p>
    <w:p w14:paraId="57AD1A8A" w14:textId="77777777" w:rsidR="00A83EB9" w:rsidRPr="00A83EB9" w:rsidRDefault="00A83EB9" w:rsidP="00A83EB9">
      <w:pPr>
        <w:jc w:val="both"/>
      </w:pPr>
      <w:r w:rsidRPr="00A83EB9">
        <w:t>b) sulla base dell'approvazione di cui alla lettera a), il soggetto proponente presenta al comune il progetto definitivo. Il comune, previa conferenza di servizi decisoria, alla quale sono chiamati a partecipare tutti i soggetti ordinariamente titolari di competenze in ordine al progetto presentato e che può richiedere al proponente modifiche al progetto strettamente necessarie, delibera in via definitiva sul progetto; la procedura deve concludersi entro centoventi giorni dalla presentazione del progetto. Ove il progetto comporti atti di competenza regionale, la conferenza di servizi è convocata dalla regione, che delibera entro centottanta giorni dalla presentazione del progetto. Il provvedimento finale sostituisce ogni autorizzazione o permesso comunque denominato necessario alla realizzazione dell'opera e determina la dichiarazione di pubblica utilità, indifferibilità e urgenza dell'opera medesima;</w:t>
      </w:r>
    </w:p>
    <w:p w14:paraId="26E016AC" w14:textId="77777777" w:rsidR="00A83EB9" w:rsidRPr="00A83EB9" w:rsidRDefault="00A83EB9" w:rsidP="00A83EB9">
      <w:pPr>
        <w:jc w:val="both"/>
      </w:pPr>
      <w:r w:rsidRPr="00A83EB9">
        <w:t>c) in caso di superamento dei termini di cui alle lettere a) e b), relativamente agli impianti omologati per un numero di posti pari o superiore a 500 al coperto o a 2.000 allo scoperto, il Presidente del Consiglio dei ministri, su istanza del soggetto proponente, assegna all'ente interessato trenta giorni per adottare i provvedimenti necessari; decorso inutilmente tale termine, il presidente della regione interessata nomina un commissario con il compito di adottare, entro il termine di sessanta giorni, sentito il comune interessato, i provvedimenti necessari. Relativamente agli impianti omologati per un numero di posti pari o superiore a 4.000 al coperto e 20.000 allo scoperto, decorso infruttuosamente l'ulteriore termine di trenta giorni concesso all'ente territoriale, il Consiglio dei ministri, al quale è invitato a partecipare il presidente della regione interessata, previo parere del Consiglio superiore dei lavori pubblici, da esprimere entro trenta giorni dalla richiesta, adotta, entro il termine di sessanta giorni, i provvedimenti necessari;</w:t>
      </w:r>
    </w:p>
    <w:p w14:paraId="5F472BE4" w14:textId="77777777" w:rsidR="00A83EB9" w:rsidRDefault="00A83EB9" w:rsidP="00A83EB9">
      <w:pPr>
        <w:jc w:val="both"/>
      </w:pPr>
      <w:r w:rsidRPr="00A83EB9">
        <w:t>d) in caso di interventi da realizzare su aree di proprietà pubblica o su impianti pubblici esistenti, il progetto approvato è fatto oggetto di idonea procedura di evidenza pubblica, da concludersi comunque entro novanta giorni dalla sua approvazione.</w:t>
      </w:r>
    </w:p>
    <w:p w14:paraId="7DD28598" w14:textId="41D68F60" w:rsidR="00A83EB9" w:rsidRPr="00A83EB9" w:rsidRDefault="00A83EB9" w:rsidP="00A83EB9">
      <w:pPr>
        <w:jc w:val="both"/>
      </w:pPr>
      <w:r w:rsidRPr="00A83EB9">
        <w:lastRenderedPageBreak/>
        <w:t>Alla gara è invitato anche il soggetto proponente, che assume la denominazione di promotore. Il bando specifica che il promotore, nell'ipotesi in cui non risulti aggiudicatario, può esercitare il diritto di prelazione entro quindici giorni dall'aggiudicazione definitiva e divenire aggiudicatario se dichiara di assumere la migliore offerta presentata. Si applicano, in quanto compatibili, le previsioni del codice di cui al </w:t>
      </w:r>
      <w:hyperlink r:id="rId5" w:tgtFrame="_blank" w:history="1">
        <w:r w:rsidRPr="00A83EB9">
          <w:rPr>
            <w:rStyle w:val="Collegamentoipertestuale"/>
          </w:rPr>
          <w:t>decreto legislativo 12 aprile 2006, n. 163</w:t>
        </w:r>
      </w:hyperlink>
      <w:r w:rsidRPr="00A83EB9">
        <w:t xml:space="preserve">, in materia di finanza di progetto. Qualora l'aggiudicatario sia diverso dal soggetto di cui alla lettera a), primo periodo, il </w:t>
      </w:r>
      <w:proofErr w:type="gramStart"/>
      <w:r w:rsidRPr="00A83EB9">
        <w:t>predetto</w:t>
      </w:r>
      <w:proofErr w:type="gramEnd"/>
      <w:r w:rsidRPr="00A83EB9">
        <w:t xml:space="preserve"> aggiudicatario è tenuto a subentrare nell'accordo o negli accordi di cui alla medesima lettera e periodo;</w:t>
      </w:r>
    </w:p>
    <w:p w14:paraId="35F9FC48" w14:textId="77777777" w:rsidR="00A83EB9" w:rsidRDefault="00A83EB9" w:rsidP="00A83EB9">
      <w:pPr>
        <w:jc w:val="both"/>
      </w:pPr>
      <w:r w:rsidRPr="00A83EB9">
        <w:t>e) resta salvo il regime di maggiore semplificazione previsto dalla normativa vigente in relazione alla tipologia o dimensione dello specifico intervento promosso.</w:t>
      </w:r>
    </w:p>
    <w:p w14:paraId="373EA320" w14:textId="0F7927D6" w:rsidR="00A83EB9" w:rsidRPr="00A83EB9" w:rsidRDefault="00A83EB9" w:rsidP="00A83EB9">
      <w:pPr>
        <w:jc w:val="both"/>
      </w:pPr>
      <w:r w:rsidRPr="00A83EB9">
        <w:rPr>
          <w:b/>
          <w:bCs/>
        </w:rPr>
        <w:t>305. </w:t>
      </w:r>
      <w:r w:rsidRPr="00A83EB9">
        <w:t>Gli interventi di cui al comma 304, laddove possibile, sono realizzati prioritariamente mediante recupero di impianti esistenti o relativamente a impianti localizzati in aree già edificate.</w:t>
      </w:r>
      <w:r w:rsidRPr="00A83EB9">
        <w:br/>
      </w:r>
    </w:p>
    <w:p w14:paraId="2096B837" w14:textId="77777777" w:rsidR="00004EEC" w:rsidRDefault="00004EEC" w:rsidP="00A83EB9">
      <w:pPr>
        <w:jc w:val="both"/>
      </w:pPr>
    </w:p>
    <w:sectPr w:rsidR="00004EE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EB9"/>
    <w:rsid w:val="00004EEC"/>
    <w:rsid w:val="0082559B"/>
    <w:rsid w:val="00960373"/>
    <w:rsid w:val="00A83EB9"/>
    <w:rsid w:val="00FF10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DD853"/>
  <w15:chartTrackingRefBased/>
  <w15:docId w15:val="{C6064D62-BC35-45BB-8690-3E0E4BCA1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83E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83E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83EB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83EB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83EB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83EB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83EB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83EB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83EB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83EB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83EB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83EB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83EB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83EB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83EB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83EB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83EB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83EB9"/>
    <w:rPr>
      <w:rFonts w:eastAsiaTheme="majorEastAsia" w:cstheme="majorBidi"/>
      <w:color w:val="272727" w:themeColor="text1" w:themeTint="D8"/>
    </w:rPr>
  </w:style>
  <w:style w:type="paragraph" w:styleId="Titolo">
    <w:name w:val="Title"/>
    <w:basedOn w:val="Normale"/>
    <w:next w:val="Normale"/>
    <w:link w:val="TitoloCarattere"/>
    <w:uiPriority w:val="10"/>
    <w:qFormat/>
    <w:rsid w:val="00A83E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83EB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83EB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83EB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83EB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83EB9"/>
    <w:rPr>
      <w:i/>
      <w:iCs/>
      <w:color w:val="404040" w:themeColor="text1" w:themeTint="BF"/>
    </w:rPr>
  </w:style>
  <w:style w:type="paragraph" w:styleId="Paragrafoelenco">
    <w:name w:val="List Paragraph"/>
    <w:basedOn w:val="Normale"/>
    <w:uiPriority w:val="34"/>
    <w:qFormat/>
    <w:rsid w:val="00A83EB9"/>
    <w:pPr>
      <w:ind w:left="720"/>
      <w:contextualSpacing/>
    </w:pPr>
  </w:style>
  <w:style w:type="character" w:styleId="Enfasiintensa">
    <w:name w:val="Intense Emphasis"/>
    <w:basedOn w:val="Carpredefinitoparagrafo"/>
    <w:uiPriority w:val="21"/>
    <w:qFormat/>
    <w:rsid w:val="00A83EB9"/>
    <w:rPr>
      <w:i/>
      <w:iCs/>
      <w:color w:val="0F4761" w:themeColor="accent1" w:themeShade="BF"/>
    </w:rPr>
  </w:style>
  <w:style w:type="paragraph" w:styleId="Citazioneintensa">
    <w:name w:val="Intense Quote"/>
    <w:basedOn w:val="Normale"/>
    <w:next w:val="Normale"/>
    <w:link w:val="CitazioneintensaCarattere"/>
    <w:uiPriority w:val="30"/>
    <w:qFormat/>
    <w:rsid w:val="00A83E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83EB9"/>
    <w:rPr>
      <w:i/>
      <w:iCs/>
      <w:color w:val="0F4761" w:themeColor="accent1" w:themeShade="BF"/>
    </w:rPr>
  </w:style>
  <w:style w:type="character" w:styleId="Riferimentointenso">
    <w:name w:val="Intense Reference"/>
    <w:basedOn w:val="Carpredefinitoparagrafo"/>
    <w:uiPriority w:val="32"/>
    <w:qFormat/>
    <w:rsid w:val="00A83EB9"/>
    <w:rPr>
      <w:b/>
      <w:bCs/>
      <w:smallCaps/>
      <w:color w:val="0F4761" w:themeColor="accent1" w:themeShade="BF"/>
      <w:spacing w:val="5"/>
    </w:rPr>
  </w:style>
  <w:style w:type="character" w:styleId="Collegamentoipertestuale">
    <w:name w:val="Hyperlink"/>
    <w:basedOn w:val="Carpredefinitoparagrafo"/>
    <w:uiPriority w:val="99"/>
    <w:unhideWhenUsed/>
    <w:rsid w:val="00A83EB9"/>
    <w:rPr>
      <w:color w:val="467886" w:themeColor="hyperlink"/>
      <w:u w:val="single"/>
    </w:rPr>
  </w:style>
  <w:style w:type="character" w:styleId="Menzionenonrisolta">
    <w:name w:val="Unresolved Mention"/>
    <w:basedOn w:val="Carpredefinitoparagrafo"/>
    <w:uiPriority w:val="99"/>
    <w:semiHidden/>
    <w:unhideWhenUsed/>
    <w:rsid w:val="00A83E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985593">
      <w:bodyDiv w:val="1"/>
      <w:marLeft w:val="0"/>
      <w:marRight w:val="0"/>
      <w:marTop w:val="0"/>
      <w:marBottom w:val="0"/>
      <w:divBdr>
        <w:top w:val="none" w:sz="0" w:space="0" w:color="auto"/>
        <w:left w:val="none" w:sz="0" w:space="0" w:color="auto"/>
        <w:bottom w:val="none" w:sz="0" w:space="0" w:color="auto"/>
        <w:right w:val="none" w:sz="0" w:space="0" w:color="auto"/>
      </w:divBdr>
      <w:divsChild>
        <w:div w:id="1839731178">
          <w:marLeft w:val="0"/>
          <w:marRight w:val="0"/>
          <w:marTop w:val="0"/>
          <w:marBottom w:val="0"/>
          <w:divBdr>
            <w:top w:val="none" w:sz="0" w:space="0" w:color="auto"/>
            <w:left w:val="none" w:sz="0" w:space="0" w:color="auto"/>
            <w:bottom w:val="none" w:sz="0" w:space="0" w:color="auto"/>
            <w:right w:val="none" w:sz="0" w:space="0" w:color="auto"/>
          </w:divBdr>
          <w:divsChild>
            <w:div w:id="215431744">
              <w:marLeft w:val="0"/>
              <w:marRight w:val="0"/>
              <w:marTop w:val="0"/>
              <w:marBottom w:val="0"/>
              <w:divBdr>
                <w:top w:val="none" w:sz="0" w:space="0" w:color="auto"/>
                <w:left w:val="none" w:sz="0" w:space="0" w:color="auto"/>
                <w:bottom w:val="none" w:sz="0" w:space="0" w:color="auto"/>
                <w:right w:val="none" w:sz="0" w:space="0" w:color="auto"/>
              </w:divBdr>
            </w:div>
            <w:div w:id="1231308014">
              <w:marLeft w:val="0"/>
              <w:marRight w:val="0"/>
              <w:marTop w:val="0"/>
              <w:marBottom w:val="0"/>
              <w:divBdr>
                <w:top w:val="none" w:sz="0" w:space="0" w:color="auto"/>
                <w:left w:val="none" w:sz="0" w:space="0" w:color="auto"/>
                <w:bottom w:val="none" w:sz="0" w:space="0" w:color="auto"/>
                <w:right w:val="none" w:sz="0" w:space="0" w:color="auto"/>
              </w:divBdr>
            </w:div>
            <w:div w:id="2000960693">
              <w:marLeft w:val="0"/>
              <w:marRight w:val="0"/>
              <w:marTop w:val="0"/>
              <w:marBottom w:val="0"/>
              <w:divBdr>
                <w:top w:val="none" w:sz="0" w:space="0" w:color="auto"/>
                <w:left w:val="none" w:sz="0" w:space="0" w:color="auto"/>
                <w:bottom w:val="none" w:sz="0" w:space="0" w:color="auto"/>
                <w:right w:val="none" w:sz="0" w:space="0" w:color="auto"/>
              </w:divBdr>
            </w:div>
            <w:div w:id="1944872636">
              <w:marLeft w:val="0"/>
              <w:marRight w:val="0"/>
              <w:marTop w:val="0"/>
              <w:marBottom w:val="0"/>
              <w:divBdr>
                <w:top w:val="none" w:sz="0" w:space="0" w:color="auto"/>
                <w:left w:val="none" w:sz="0" w:space="0" w:color="auto"/>
                <w:bottom w:val="none" w:sz="0" w:space="0" w:color="auto"/>
                <w:right w:val="none" w:sz="0" w:space="0" w:color="auto"/>
              </w:divBdr>
            </w:div>
            <w:div w:id="1317224096">
              <w:marLeft w:val="0"/>
              <w:marRight w:val="0"/>
              <w:marTop w:val="0"/>
              <w:marBottom w:val="0"/>
              <w:divBdr>
                <w:top w:val="none" w:sz="0" w:space="0" w:color="auto"/>
                <w:left w:val="none" w:sz="0" w:space="0" w:color="auto"/>
                <w:bottom w:val="none" w:sz="0" w:space="0" w:color="auto"/>
                <w:right w:val="none" w:sz="0" w:space="0" w:color="auto"/>
              </w:divBdr>
            </w:div>
            <w:div w:id="53688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555746">
      <w:bodyDiv w:val="1"/>
      <w:marLeft w:val="0"/>
      <w:marRight w:val="0"/>
      <w:marTop w:val="0"/>
      <w:marBottom w:val="0"/>
      <w:divBdr>
        <w:top w:val="none" w:sz="0" w:space="0" w:color="auto"/>
        <w:left w:val="none" w:sz="0" w:space="0" w:color="auto"/>
        <w:bottom w:val="none" w:sz="0" w:space="0" w:color="auto"/>
        <w:right w:val="none" w:sz="0" w:space="0" w:color="auto"/>
      </w:divBdr>
      <w:divsChild>
        <w:div w:id="58017599">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ormattiva.it/uri-res/N2Ls?urn:nir:stato:decreto.legislativo:2006-04-12;163" TargetMode="External"/><Relationship Id="rId4" Type="http://schemas.openxmlformats.org/officeDocument/2006/relationships/hyperlink" Target="https://www.normattiva.it/uri-res/N2Ls?urn:nir:presidente.repubblica:decreto:2010-10-05;207~art14"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2</Pages>
  <Words>819</Words>
  <Characters>4670</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Avv. Salvatore Ugo Forello</dc:creator>
  <cp:keywords/>
  <dc:description/>
  <cp:lastModifiedBy>Avv. Salvatore Ugo Forello</cp:lastModifiedBy>
  <cp:revision>1</cp:revision>
  <cp:lastPrinted>2025-03-17T07:58:00Z</cp:lastPrinted>
  <dcterms:created xsi:type="dcterms:W3CDTF">2025-03-17T07:57:00Z</dcterms:created>
  <dcterms:modified xsi:type="dcterms:W3CDTF">2025-03-18T08:19:00Z</dcterms:modified>
</cp:coreProperties>
</file>